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1068" w14:textId="37F50C15" w:rsidR="00CF377C" w:rsidRPr="0052548E" w:rsidRDefault="00CF377C" w:rsidP="00740E4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sidR="0002373F">
        <w:rPr>
          <w:rFonts w:ascii="Arial" w:hAnsi="Arial" w:cs="Arial"/>
          <w:b/>
          <w:bCs/>
          <w:sz w:val="28"/>
        </w:rPr>
        <w:t>bis</w:t>
      </w:r>
      <w:r>
        <w:rPr>
          <w:rFonts w:ascii="Arial" w:hAnsi="Arial" w:cs="Arial"/>
          <w:b/>
          <w:bCs/>
          <w:sz w:val="28"/>
        </w:rPr>
        <w:tab/>
      </w:r>
      <w:r>
        <w:rPr>
          <w:rFonts w:ascii="Arial" w:hAnsi="Arial" w:cs="Arial"/>
          <w:b/>
          <w:bCs/>
          <w:sz w:val="28"/>
        </w:rPr>
        <w:tab/>
      </w:r>
      <w:r w:rsidR="00740E46">
        <w:rPr>
          <w:rFonts w:ascii="Arial" w:hAnsi="Arial" w:cs="Arial"/>
          <w:b/>
          <w:bCs/>
          <w:sz w:val="28"/>
        </w:rPr>
        <w:t xml:space="preserve"> </w:t>
      </w:r>
      <w:r w:rsidRPr="003B0A4D">
        <w:rPr>
          <w:rFonts w:ascii="Arial" w:hAnsi="Arial" w:cs="Arial"/>
          <w:b/>
          <w:bCs/>
          <w:sz w:val="28"/>
        </w:rPr>
        <w:t>R1-20</w:t>
      </w:r>
      <w:r w:rsidR="00026AF9" w:rsidRPr="003B0A4D">
        <w:rPr>
          <w:rFonts w:ascii="Arial" w:hAnsi="Arial" w:cs="Arial"/>
          <w:b/>
          <w:bCs/>
          <w:sz w:val="28"/>
        </w:rPr>
        <w:t>0</w:t>
      </w:r>
      <w:r w:rsidR="00900537">
        <w:rPr>
          <w:rFonts w:ascii="Arial" w:hAnsi="Arial" w:cs="Arial"/>
          <w:b/>
          <w:bCs/>
          <w:sz w:val="28"/>
        </w:rPr>
        <w:t>2</w:t>
      </w:r>
      <w:r w:rsidR="0002373F">
        <w:rPr>
          <w:rFonts w:ascii="Arial" w:hAnsi="Arial" w:cs="Arial"/>
          <w:b/>
          <w:bCs/>
          <w:sz w:val="28"/>
        </w:rPr>
        <w:t>1</w:t>
      </w:r>
      <w:r w:rsidR="00900537">
        <w:rPr>
          <w:rFonts w:ascii="Arial" w:hAnsi="Arial" w:cs="Arial"/>
          <w:b/>
          <w:bCs/>
          <w:sz w:val="28"/>
        </w:rPr>
        <w:t>7</w:t>
      </w:r>
      <w:r w:rsidR="00E169C0">
        <w:rPr>
          <w:rFonts w:ascii="Arial" w:hAnsi="Arial" w:cs="Arial"/>
          <w:b/>
          <w:bCs/>
          <w:sz w:val="28"/>
        </w:rPr>
        <w:t>7</w:t>
      </w:r>
    </w:p>
    <w:p w14:paraId="00C31D62" w14:textId="0DEE6F1C" w:rsidR="00CF377C" w:rsidRPr="009513AC" w:rsidRDefault="00CF377C" w:rsidP="00CF37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2373F">
        <w:rPr>
          <w:rFonts w:ascii="Arial" w:eastAsia="MS Mincho" w:hAnsi="Arial" w:cs="Arial"/>
          <w:b/>
          <w:bCs/>
          <w:sz w:val="28"/>
          <w:lang w:eastAsia="ja-JP"/>
        </w:rPr>
        <w:t>April</w:t>
      </w:r>
      <w:r>
        <w:rPr>
          <w:rFonts w:ascii="Arial" w:eastAsia="MS Mincho" w:hAnsi="Arial" w:cs="Arial"/>
          <w:b/>
          <w:bCs/>
          <w:sz w:val="28"/>
          <w:lang w:eastAsia="ja-JP"/>
        </w:rPr>
        <w:t xml:space="preserve"> 2</w:t>
      </w:r>
      <w:r w:rsidR="0002373F">
        <w:rPr>
          <w:rFonts w:ascii="Arial" w:eastAsia="MS Mincho" w:hAnsi="Arial" w:cs="Arial"/>
          <w:b/>
          <w:bCs/>
          <w:sz w:val="28"/>
          <w:lang w:eastAsia="ja-JP"/>
        </w:rPr>
        <w:t>0</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02373F">
        <w:rPr>
          <w:rFonts w:ascii="Arial" w:eastAsia="MS Mincho" w:hAnsi="Arial" w:cs="Arial"/>
          <w:b/>
          <w:bCs/>
          <w:sz w:val="28"/>
          <w:lang w:eastAsia="ja-JP"/>
        </w:rPr>
        <w:t>30</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5A7C59C" w14:textId="5D760FCB" w:rsidR="00D64908" w:rsidRPr="00CC27F5" w:rsidRDefault="00D64908" w:rsidP="00106C5D">
      <w:pPr>
        <w:pStyle w:val="Header"/>
        <w:tabs>
          <w:tab w:val="right" w:pos="9639"/>
        </w:tabs>
        <w:jc w:val="both"/>
        <w:rPr>
          <w:i/>
          <w:sz w:val="32"/>
          <w:lang w:val="en-GB"/>
        </w:rPr>
      </w:pPr>
      <w:r w:rsidRPr="00CC27F5">
        <w:rPr>
          <w:sz w:val="24"/>
          <w:lang w:val="en-GB"/>
        </w:rPr>
        <w:tab/>
      </w:r>
    </w:p>
    <w:p w14:paraId="2054D09C" w14:textId="1D5B58A6"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w:t>
      </w:r>
      <w:r w:rsidR="00E169C0">
        <w:rPr>
          <w:rFonts w:ascii="Arial" w:hAnsi="Arial"/>
          <w:sz w:val="24"/>
        </w:rPr>
        <w:t>2</w:t>
      </w:r>
      <w:r w:rsidR="003B6EE7">
        <w:rPr>
          <w:rFonts w:ascii="Arial" w:hAnsi="Arial"/>
          <w:sz w:val="24"/>
        </w:rPr>
        <w:t>.</w:t>
      </w:r>
      <w:r w:rsidR="00122277">
        <w:rPr>
          <w:rFonts w:ascii="Arial" w:hAnsi="Arial"/>
          <w:sz w:val="24"/>
        </w:rPr>
        <w:t>4</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21B440B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22277">
        <w:rPr>
          <w:rFonts w:ascii="Arial" w:hAnsi="Arial"/>
          <w:sz w:val="24"/>
        </w:rPr>
        <w:t>Coexistence</w:t>
      </w:r>
      <w:r w:rsidR="00106C5D">
        <w:rPr>
          <w:rFonts w:ascii="Arial" w:hAnsi="Arial"/>
          <w:sz w:val="24"/>
        </w:rPr>
        <w:t xml:space="preserve"> </w:t>
      </w:r>
      <w:r w:rsidR="00122277">
        <w:rPr>
          <w:rFonts w:ascii="Arial" w:hAnsi="Arial"/>
          <w:sz w:val="24"/>
        </w:rPr>
        <w:t xml:space="preserve">of </w:t>
      </w:r>
      <w:r w:rsidR="00E169C0">
        <w:rPr>
          <w:rFonts w:ascii="Arial" w:hAnsi="Arial"/>
          <w:sz w:val="24"/>
        </w:rPr>
        <w:t>NB-IoT</w:t>
      </w:r>
      <w:r w:rsidR="00122277">
        <w:rPr>
          <w:rFonts w:ascii="Arial" w:hAnsi="Arial"/>
          <w:sz w:val="24"/>
        </w:rPr>
        <w:t xml:space="preserve"> with NR</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3B207B9B" w14:textId="0932D2CE" w:rsidR="0061680D" w:rsidRDefault="003F011A" w:rsidP="0061680D">
      <w:pPr>
        <w:pStyle w:val="Heading1"/>
        <w:numPr>
          <w:ilvl w:val="0"/>
          <w:numId w:val="1"/>
        </w:numPr>
        <w:tabs>
          <w:tab w:val="clear" w:pos="1140"/>
          <w:tab w:val="num" w:pos="720"/>
        </w:tabs>
        <w:ind w:left="720" w:hanging="720"/>
        <w:jc w:val="both"/>
      </w:pPr>
      <w:r>
        <w:t>Issue #1: LS response on NR coexistence</w:t>
      </w:r>
    </w:p>
    <w:p w14:paraId="3F7A8F5D" w14:textId="43C2A49B" w:rsidR="003F011A" w:rsidRPr="00025B90" w:rsidRDefault="00025B90" w:rsidP="003F011A">
      <w:r w:rsidRPr="00025B90">
        <w:t xml:space="preserve">In the following, we provide our </w:t>
      </w:r>
      <w:r w:rsidR="00E169C0">
        <w:t>answers for the questions in</w:t>
      </w:r>
      <w:r w:rsidRPr="00025B90">
        <w:t xml:space="preserve"> the LS on NR coexistence from RAN2</w:t>
      </w:r>
      <w:r w:rsidR="00F81B68">
        <w:t xml:space="preserve"> [1]</w:t>
      </w:r>
      <w:r w:rsidR="003F011A" w:rsidRPr="00025B90">
        <w:rPr>
          <w:rFonts w:hint="eastAsia"/>
        </w:rPr>
        <w:t>.</w:t>
      </w:r>
    </w:p>
    <w:p w14:paraId="5BDABAD3" w14:textId="77777777" w:rsidR="003F011A" w:rsidRPr="00025B90" w:rsidRDefault="003F011A" w:rsidP="003F011A">
      <w:pPr>
        <w:spacing w:after="0"/>
        <w:rPr>
          <w:b/>
          <w:bCs/>
        </w:rPr>
      </w:pPr>
      <w:r w:rsidRPr="00025B90">
        <w:rPr>
          <w:b/>
          <w:bCs/>
        </w:rPr>
        <w:t>Question 1: For NB-IoT, which, if any, resource reservation parameters for NR are likely to be the same across different carriers?</w:t>
      </w:r>
    </w:p>
    <w:p w14:paraId="713E1AE6" w14:textId="77777777" w:rsidR="003F011A" w:rsidRPr="00025B90" w:rsidRDefault="003F011A" w:rsidP="003F011A">
      <w:pPr>
        <w:spacing w:after="0"/>
        <w:rPr>
          <w:b/>
          <w:bCs/>
        </w:rPr>
      </w:pPr>
    </w:p>
    <w:p w14:paraId="2ABC5DCA" w14:textId="77777777" w:rsidR="002800EB" w:rsidRPr="00025B90" w:rsidRDefault="002800EB" w:rsidP="002800EB">
      <w:r w:rsidRPr="00025B90">
        <w:t xml:space="preserve">Table 1 below lists the resource reservation parameters for NB-IoT coexistence with NR. It can be seen there is a maximum 49 bits for subframe level configuration and maximum 103 bits for symbol level configuration. </w:t>
      </w:r>
      <w:r>
        <w:t>T</w:t>
      </w:r>
      <w:r w:rsidRPr="00025B90">
        <w:t xml:space="preserve">here is too much information to carry </w:t>
      </w:r>
      <w:r>
        <w:t>when the resource configuration is signalled per</w:t>
      </w:r>
      <w:r w:rsidRPr="00025B90">
        <w:t xml:space="preserve"> non-anchor carrier. </w:t>
      </w:r>
      <w:r>
        <w:t>It</w:t>
      </w:r>
      <w:r w:rsidRPr="00025B90">
        <w:t xml:space="preserve"> </w:t>
      </w:r>
      <w:r>
        <w:t>may also be</w:t>
      </w:r>
      <w:r w:rsidRPr="00025B90">
        <w:t xml:space="preserve"> quite a lot for dedicated </w:t>
      </w:r>
      <w:r>
        <w:t>signalling</w:t>
      </w:r>
      <w:r w:rsidRPr="00025B90">
        <w:t xml:space="preserve"> </w:t>
      </w:r>
      <w:r>
        <w:t>since</w:t>
      </w:r>
      <w:r w:rsidRPr="00025B90">
        <w:t xml:space="preserve"> the </w:t>
      </w:r>
      <w:r>
        <w:t xml:space="preserve">number of bits </w:t>
      </w:r>
      <w:r w:rsidRPr="00025B90">
        <w:t xml:space="preserve">is over 100. </w:t>
      </w:r>
      <w:r>
        <w:t>I</w:t>
      </w:r>
      <w:r w:rsidRPr="00025B90">
        <w:t xml:space="preserve">n </w:t>
      </w:r>
      <w:r>
        <w:t xml:space="preserve">the </w:t>
      </w:r>
      <w:r w:rsidRPr="00025B90">
        <w:t xml:space="preserve">current 36.331 spec, the reservation parameters are configured via dedicated </w:t>
      </w:r>
      <w:r>
        <w:t>signalling. Probably the same parameters are configured to different non-anchor carriers to different UEs thus requiring a lot of signalling. I</w:t>
      </w:r>
      <w:r w:rsidRPr="00025B90">
        <w:t xml:space="preserve">t is useful to </w:t>
      </w:r>
      <w:r>
        <w:t>know</w:t>
      </w:r>
      <w:r w:rsidRPr="00025B90">
        <w:t xml:space="preserve"> which parameters can be cell common (i.e. apply to any NB-IoT carrier used for connected mode only) and whether they can be overridden by </w:t>
      </w:r>
      <w:r>
        <w:t xml:space="preserve">the </w:t>
      </w:r>
      <w:r w:rsidRPr="00025B90">
        <w:t>dedicated signalling.</w:t>
      </w:r>
    </w:p>
    <w:p w14:paraId="1766D3C5" w14:textId="77777777" w:rsidR="002800EB" w:rsidRPr="00025B90" w:rsidRDefault="002800EB" w:rsidP="002800EB">
      <w:r>
        <w:t>Generally</w:t>
      </w:r>
      <w:r w:rsidRPr="00025B90">
        <w:t xml:space="preserve">, the parameters periodicity, startPosition and granularity (i.e. resource reservation at subframe/slot with 10ms/40ms time domain granularity) can be cell common (i.e. same for </w:t>
      </w:r>
      <w:r>
        <w:t>any</w:t>
      </w:r>
      <w:r w:rsidRPr="00025B90">
        <w:t xml:space="preserve"> NB-IoT carrier used for connected mode only), and the bitmap parameters can also be cell common but can be overridden with dedicated signalling if necessary.  The parameters common to different non-anchor carriers can be provided in the SIB to </w:t>
      </w:r>
      <w:r>
        <w:t>save</w:t>
      </w:r>
      <w:r w:rsidRPr="00025B90">
        <w:t xml:space="preserve"> </w:t>
      </w:r>
      <w:r>
        <w:t xml:space="preserve">the </w:t>
      </w:r>
      <w:r w:rsidRPr="00025B90">
        <w:t xml:space="preserve">bits </w:t>
      </w:r>
      <w:r>
        <w:t>in</w:t>
      </w:r>
      <w:r w:rsidRPr="00025B90">
        <w:t xml:space="preserve"> dedicated signalling.</w:t>
      </w:r>
    </w:p>
    <w:p w14:paraId="44322A42" w14:textId="77777777" w:rsidR="003F011A" w:rsidRPr="00025B90" w:rsidRDefault="003F011A" w:rsidP="003F011A">
      <w:pPr>
        <w:spacing w:after="0"/>
      </w:pPr>
      <w:r w:rsidRPr="00025B90">
        <w:t xml:space="preserve"> </w:t>
      </w:r>
    </w:p>
    <w:p w14:paraId="538BF7F3" w14:textId="77777777" w:rsidR="003F011A" w:rsidRPr="00025B90" w:rsidRDefault="003F011A" w:rsidP="003F011A">
      <w:pPr>
        <w:spacing w:after="0"/>
        <w:jc w:val="center"/>
        <w:rPr>
          <w:b/>
          <w:bCs/>
        </w:rPr>
      </w:pPr>
      <w:r w:rsidRPr="00025B90">
        <w:rPr>
          <w:b/>
          <w:bCs/>
        </w:rPr>
        <w:t>Table 1: List of resource reservation parameters for coexistence with NR</w:t>
      </w:r>
    </w:p>
    <w:p w14:paraId="3BB40B2E" w14:textId="77777777" w:rsidR="003F011A" w:rsidRPr="00025B90" w:rsidRDefault="003F011A" w:rsidP="003F011A">
      <w:pPr>
        <w:spacing w:after="0"/>
        <w:rPr>
          <w:b/>
          <w:bCs/>
        </w:rPr>
      </w:pPr>
    </w:p>
    <w:tbl>
      <w:tblPr>
        <w:tblStyle w:val="TableGrid"/>
        <w:tblW w:w="0" w:type="auto"/>
        <w:tblLayout w:type="fixed"/>
        <w:tblLook w:val="04A0" w:firstRow="1" w:lastRow="0" w:firstColumn="1" w:lastColumn="0" w:noHBand="0" w:noVBand="1"/>
      </w:tblPr>
      <w:tblGrid>
        <w:gridCol w:w="2785"/>
        <w:gridCol w:w="900"/>
        <w:gridCol w:w="4050"/>
        <w:gridCol w:w="1894"/>
      </w:tblGrid>
      <w:tr w:rsidR="003F011A" w:rsidRPr="00025B90" w14:paraId="5F0D3FB7" w14:textId="77777777" w:rsidTr="000D3F2F">
        <w:tc>
          <w:tcPr>
            <w:tcW w:w="2785" w:type="dxa"/>
          </w:tcPr>
          <w:p w14:paraId="051DBEC1" w14:textId="77777777" w:rsidR="003F011A" w:rsidRPr="00025B90" w:rsidRDefault="003F011A" w:rsidP="000D3F2F">
            <w:pPr>
              <w:spacing w:after="0"/>
              <w:rPr>
                <w:b/>
                <w:bCs/>
              </w:rPr>
            </w:pPr>
            <w:r w:rsidRPr="00025B90">
              <w:rPr>
                <w:b/>
                <w:bCs/>
              </w:rPr>
              <w:t>Parameter name</w:t>
            </w:r>
          </w:p>
        </w:tc>
        <w:tc>
          <w:tcPr>
            <w:tcW w:w="900" w:type="dxa"/>
          </w:tcPr>
          <w:p w14:paraId="612B99D3" w14:textId="77777777" w:rsidR="003F011A" w:rsidRPr="00025B90" w:rsidRDefault="003F011A" w:rsidP="000D3F2F">
            <w:pPr>
              <w:spacing w:after="0"/>
              <w:rPr>
                <w:b/>
                <w:bCs/>
              </w:rPr>
            </w:pPr>
            <w:r w:rsidRPr="00025B90">
              <w:rPr>
                <w:b/>
                <w:bCs/>
              </w:rPr>
              <w:t>#bits</w:t>
            </w:r>
          </w:p>
        </w:tc>
        <w:tc>
          <w:tcPr>
            <w:tcW w:w="4050" w:type="dxa"/>
          </w:tcPr>
          <w:p w14:paraId="60B917D4" w14:textId="77777777" w:rsidR="003F011A" w:rsidRPr="00025B90" w:rsidRDefault="003F011A" w:rsidP="000D3F2F">
            <w:pPr>
              <w:spacing w:after="0"/>
              <w:rPr>
                <w:b/>
                <w:bCs/>
              </w:rPr>
            </w:pPr>
            <w:r w:rsidRPr="00025B90">
              <w:rPr>
                <w:b/>
                <w:bCs/>
              </w:rPr>
              <w:t>Description</w:t>
            </w:r>
          </w:p>
        </w:tc>
        <w:tc>
          <w:tcPr>
            <w:tcW w:w="1894" w:type="dxa"/>
          </w:tcPr>
          <w:p w14:paraId="37D41A99" w14:textId="77777777" w:rsidR="003F011A" w:rsidRPr="00025B90" w:rsidRDefault="003F011A" w:rsidP="000D3F2F">
            <w:pPr>
              <w:spacing w:after="0"/>
              <w:rPr>
                <w:b/>
                <w:bCs/>
              </w:rPr>
            </w:pPr>
            <w:r w:rsidRPr="00025B90">
              <w:rPr>
                <w:b/>
                <w:bCs/>
              </w:rPr>
              <w:t>Cell common</w:t>
            </w:r>
          </w:p>
        </w:tc>
      </w:tr>
      <w:tr w:rsidR="003F011A" w:rsidRPr="00025B90" w14:paraId="47BB6234" w14:textId="77777777" w:rsidTr="000D3F2F">
        <w:tc>
          <w:tcPr>
            <w:tcW w:w="2785" w:type="dxa"/>
          </w:tcPr>
          <w:p w14:paraId="1A522B0C" w14:textId="77777777" w:rsidR="003F011A" w:rsidRPr="00025B90" w:rsidRDefault="003F011A" w:rsidP="000D3F2F">
            <w:pPr>
              <w:spacing w:after="0"/>
            </w:pPr>
            <w:r w:rsidRPr="00025B90">
              <w:t>periodicity</w:t>
            </w:r>
          </w:p>
        </w:tc>
        <w:tc>
          <w:tcPr>
            <w:tcW w:w="900" w:type="dxa"/>
          </w:tcPr>
          <w:p w14:paraId="5D4A1D7C" w14:textId="77777777" w:rsidR="003F011A" w:rsidRPr="00025B90" w:rsidRDefault="003F011A" w:rsidP="000D3F2F">
            <w:pPr>
              <w:spacing w:after="0"/>
            </w:pPr>
            <w:r w:rsidRPr="00025B90">
              <w:t>3 bits</w:t>
            </w:r>
          </w:p>
        </w:tc>
        <w:tc>
          <w:tcPr>
            <w:tcW w:w="4050" w:type="dxa"/>
          </w:tcPr>
          <w:p w14:paraId="7F5A0BBD" w14:textId="77777777" w:rsidR="003F011A" w:rsidRPr="00025B90" w:rsidRDefault="003F011A" w:rsidP="000D3F2F">
            <w:pPr>
              <w:spacing w:after="0"/>
            </w:pPr>
            <w:r w:rsidRPr="00025B90">
              <w:t xml:space="preserve">Periodicity of the reserved resource. </w:t>
            </w:r>
          </w:p>
        </w:tc>
        <w:tc>
          <w:tcPr>
            <w:tcW w:w="1894" w:type="dxa"/>
          </w:tcPr>
          <w:p w14:paraId="3C814EDE" w14:textId="77777777" w:rsidR="003F011A" w:rsidRPr="00025B90" w:rsidRDefault="003F011A" w:rsidP="000D3F2F">
            <w:pPr>
              <w:spacing w:after="0"/>
            </w:pPr>
            <w:r w:rsidRPr="00025B90">
              <w:t>Yes</w:t>
            </w:r>
          </w:p>
        </w:tc>
      </w:tr>
      <w:tr w:rsidR="003F011A" w:rsidRPr="00025B90" w14:paraId="46373D72" w14:textId="77777777" w:rsidTr="000D3F2F">
        <w:tc>
          <w:tcPr>
            <w:tcW w:w="2785" w:type="dxa"/>
          </w:tcPr>
          <w:p w14:paraId="7AB350A2" w14:textId="77777777" w:rsidR="003F011A" w:rsidRPr="00025B90" w:rsidRDefault="003F011A" w:rsidP="000D3F2F">
            <w:pPr>
              <w:spacing w:after="0"/>
            </w:pPr>
            <w:r w:rsidRPr="00025B90">
              <w:t>startPosition</w:t>
            </w:r>
          </w:p>
        </w:tc>
        <w:tc>
          <w:tcPr>
            <w:tcW w:w="900" w:type="dxa"/>
          </w:tcPr>
          <w:p w14:paraId="4C295EB2" w14:textId="77777777" w:rsidR="003F011A" w:rsidRPr="00025B90" w:rsidRDefault="003F011A" w:rsidP="000D3F2F">
            <w:pPr>
              <w:spacing w:after="0"/>
            </w:pPr>
            <w:r w:rsidRPr="00025B90">
              <w:t>4 bits</w:t>
            </w:r>
          </w:p>
        </w:tc>
        <w:tc>
          <w:tcPr>
            <w:tcW w:w="4050" w:type="dxa"/>
          </w:tcPr>
          <w:p w14:paraId="6A22B8A4" w14:textId="77777777" w:rsidR="003F011A" w:rsidRPr="00025B90" w:rsidRDefault="003F011A" w:rsidP="000D3F2F">
            <w:pPr>
              <w:spacing w:after="0"/>
            </w:pPr>
            <w:r w:rsidRPr="00025B90">
              <w:t>Start time of the resource reservation pattern in one period</w:t>
            </w:r>
          </w:p>
        </w:tc>
        <w:tc>
          <w:tcPr>
            <w:tcW w:w="1894" w:type="dxa"/>
          </w:tcPr>
          <w:p w14:paraId="51124D95" w14:textId="77777777" w:rsidR="003F011A" w:rsidRPr="00025B90" w:rsidRDefault="003F011A" w:rsidP="000D3F2F">
            <w:pPr>
              <w:spacing w:after="0"/>
            </w:pPr>
            <w:r w:rsidRPr="00025B90">
              <w:t>Yes</w:t>
            </w:r>
          </w:p>
        </w:tc>
      </w:tr>
      <w:tr w:rsidR="003F011A" w:rsidRPr="00025B90" w14:paraId="2B6F9088" w14:textId="77777777" w:rsidTr="000D3F2F">
        <w:tc>
          <w:tcPr>
            <w:tcW w:w="2785" w:type="dxa"/>
          </w:tcPr>
          <w:p w14:paraId="503D22F8" w14:textId="77777777" w:rsidR="003F011A" w:rsidRPr="00025B90" w:rsidRDefault="003F011A" w:rsidP="000D3F2F">
            <w:pPr>
              <w:spacing w:after="0"/>
            </w:pPr>
            <w:r w:rsidRPr="00025B90">
              <w:t>Subframe (or slot) level resource reservation</w:t>
            </w:r>
          </w:p>
        </w:tc>
        <w:tc>
          <w:tcPr>
            <w:tcW w:w="900" w:type="dxa"/>
          </w:tcPr>
          <w:p w14:paraId="547354CA" w14:textId="77777777" w:rsidR="003F011A" w:rsidRPr="00025B90" w:rsidRDefault="003F011A" w:rsidP="000D3F2F">
            <w:pPr>
              <w:spacing w:after="0"/>
            </w:pPr>
            <w:r w:rsidRPr="00025B90">
              <w:t>1 bit</w:t>
            </w:r>
          </w:p>
        </w:tc>
        <w:tc>
          <w:tcPr>
            <w:tcW w:w="4050" w:type="dxa"/>
          </w:tcPr>
          <w:p w14:paraId="6788BB46" w14:textId="77777777" w:rsidR="003F011A" w:rsidRPr="00025B90" w:rsidRDefault="003F011A" w:rsidP="000D3F2F">
            <w:pPr>
              <w:spacing w:after="0"/>
            </w:pPr>
            <w:r w:rsidRPr="00025B90">
              <w:t>Configuration of subframe or slot- level time-domain resource reservation</w:t>
            </w:r>
          </w:p>
        </w:tc>
        <w:tc>
          <w:tcPr>
            <w:tcW w:w="1894" w:type="dxa"/>
          </w:tcPr>
          <w:p w14:paraId="038549DF" w14:textId="77777777" w:rsidR="003F011A" w:rsidRPr="00025B90" w:rsidRDefault="003F011A" w:rsidP="000D3F2F">
            <w:pPr>
              <w:spacing w:after="0"/>
            </w:pPr>
            <w:r w:rsidRPr="00025B90">
              <w:t>Yes</w:t>
            </w:r>
          </w:p>
        </w:tc>
      </w:tr>
      <w:tr w:rsidR="003F011A" w:rsidRPr="00025B90" w14:paraId="5EABFC65" w14:textId="77777777" w:rsidTr="000D3F2F">
        <w:tc>
          <w:tcPr>
            <w:tcW w:w="2785" w:type="dxa"/>
          </w:tcPr>
          <w:p w14:paraId="720884CC" w14:textId="77777777" w:rsidR="003F011A" w:rsidRPr="00025B90" w:rsidRDefault="003F011A" w:rsidP="000D3F2F">
            <w:pPr>
              <w:spacing w:after="0"/>
            </w:pPr>
            <w:r w:rsidRPr="00025B90">
              <w:t>Time domain resource reservation granularity</w:t>
            </w:r>
          </w:p>
        </w:tc>
        <w:tc>
          <w:tcPr>
            <w:tcW w:w="900" w:type="dxa"/>
          </w:tcPr>
          <w:p w14:paraId="4BDB8CAE" w14:textId="77777777" w:rsidR="003F011A" w:rsidRPr="00025B90" w:rsidRDefault="003F011A" w:rsidP="000D3F2F">
            <w:pPr>
              <w:spacing w:after="0"/>
            </w:pPr>
            <w:r w:rsidRPr="00025B90">
              <w:t>1 bit</w:t>
            </w:r>
          </w:p>
        </w:tc>
        <w:tc>
          <w:tcPr>
            <w:tcW w:w="4050" w:type="dxa"/>
          </w:tcPr>
          <w:p w14:paraId="40B0D1BE" w14:textId="77777777" w:rsidR="003F011A" w:rsidRPr="00025B90" w:rsidRDefault="003F011A" w:rsidP="000D3F2F">
            <w:pPr>
              <w:spacing w:after="0"/>
            </w:pPr>
            <w:r w:rsidRPr="00025B90">
              <w:t>Configuration of time domain resource reservation granularity of 10ms or 40ms</w:t>
            </w:r>
          </w:p>
        </w:tc>
        <w:tc>
          <w:tcPr>
            <w:tcW w:w="1894" w:type="dxa"/>
          </w:tcPr>
          <w:p w14:paraId="5A6B3A64" w14:textId="77777777" w:rsidR="003F011A" w:rsidRPr="00025B90" w:rsidRDefault="003F011A" w:rsidP="000D3F2F">
            <w:pPr>
              <w:spacing w:after="0"/>
            </w:pPr>
            <w:r w:rsidRPr="00025B90">
              <w:t>Yes</w:t>
            </w:r>
          </w:p>
        </w:tc>
      </w:tr>
      <w:tr w:rsidR="003F011A" w:rsidRPr="00025B90" w14:paraId="551BC94B" w14:textId="77777777" w:rsidTr="000D3F2F">
        <w:tc>
          <w:tcPr>
            <w:tcW w:w="2785" w:type="dxa"/>
          </w:tcPr>
          <w:p w14:paraId="06FEA861" w14:textId="77777777" w:rsidR="003F011A" w:rsidRPr="00025B90" w:rsidRDefault="003F011A" w:rsidP="000D3F2F">
            <w:pPr>
              <w:spacing w:after="0"/>
            </w:pPr>
            <w:r w:rsidRPr="00025B90">
              <w:t>subframe</w:t>
            </w:r>
            <w:r w:rsidRPr="00025B90">
              <w:rPr>
                <w:rFonts w:hint="eastAsia"/>
                <w:lang w:eastAsia="zh-CN"/>
              </w:rPr>
              <w:t>B</w:t>
            </w:r>
            <w:r w:rsidRPr="00025B90">
              <w:rPr>
                <w:lang w:eastAsia="zh-CN"/>
              </w:rPr>
              <w:t>itmap</w:t>
            </w:r>
          </w:p>
        </w:tc>
        <w:tc>
          <w:tcPr>
            <w:tcW w:w="900" w:type="dxa"/>
          </w:tcPr>
          <w:p w14:paraId="728E441D" w14:textId="77777777" w:rsidR="003F011A" w:rsidRPr="00025B90" w:rsidRDefault="003F011A" w:rsidP="000D3F2F">
            <w:pPr>
              <w:spacing w:after="0"/>
            </w:pPr>
            <w:r w:rsidRPr="00025B90">
              <w:t>10 or 40 bits</w:t>
            </w:r>
          </w:p>
        </w:tc>
        <w:tc>
          <w:tcPr>
            <w:tcW w:w="4050" w:type="dxa"/>
          </w:tcPr>
          <w:p w14:paraId="56D7F330" w14:textId="77777777" w:rsidR="003F011A" w:rsidRPr="00025B90" w:rsidRDefault="003F011A" w:rsidP="000D3F2F">
            <w:pPr>
              <w:spacing w:after="0"/>
            </w:pPr>
            <w:r w:rsidRPr="00025B90">
              <w:t xml:space="preserve">Subframe level resource reservation over 10ms or 40ms </w:t>
            </w:r>
          </w:p>
        </w:tc>
        <w:tc>
          <w:tcPr>
            <w:tcW w:w="1894" w:type="dxa"/>
          </w:tcPr>
          <w:p w14:paraId="35994C95" w14:textId="77777777" w:rsidR="003F011A" w:rsidRPr="00025B90" w:rsidRDefault="003F011A" w:rsidP="000D3F2F">
            <w:pPr>
              <w:spacing w:after="0"/>
            </w:pPr>
            <w:r w:rsidRPr="00025B90">
              <w:t>Yes, but can be overridden by dedicated RRC</w:t>
            </w:r>
          </w:p>
        </w:tc>
      </w:tr>
      <w:tr w:rsidR="003F011A" w:rsidRPr="00025B90" w14:paraId="435FB571" w14:textId="77777777" w:rsidTr="000D3F2F">
        <w:tc>
          <w:tcPr>
            <w:tcW w:w="2785" w:type="dxa"/>
          </w:tcPr>
          <w:p w14:paraId="260621EE" w14:textId="77777777" w:rsidR="003F011A" w:rsidRPr="00025B90" w:rsidRDefault="003F011A" w:rsidP="000D3F2F">
            <w:pPr>
              <w:spacing w:after="0"/>
            </w:pPr>
            <w:r w:rsidRPr="00025B90">
              <w:t>slotBitmap</w:t>
            </w:r>
          </w:p>
        </w:tc>
        <w:tc>
          <w:tcPr>
            <w:tcW w:w="900" w:type="dxa"/>
          </w:tcPr>
          <w:p w14:paraId="54507F93" w14:textId="77777777" w:rsidR="003F011A" w:rsidRPr="00025B90" w:rsidRDefault="003F011A" w:rsidP="000D3F2F">
            <w:pPr>
              <w:spacing w:after="0"/>
            </w:pPr>
            <w:r w:rsidRPr="00025B90">
              <w:t>20 or 80 bits</w:t>
            </w:r>
          </w:p>
        </w:tc>
        <w:tc>
          <w:tcPr>
            <w:tcW w:w="4050" w:type="dxa"/>
          </w:tcPr>
          <w:p w14:paraId="2F3B1B9F" w14:textId="77777777" w:rsidR="003F011A" w:rsidRPr="00025B90" w:rsidRDefault="003F011A" w:rsidP="000D3F2F">
            <w:pPr>
              <w:spacing w:after="0"/>
            </w:pPr>
            <w:r w:rsidRPr="00025B90">
              <w:t>Slot level resource reservation over 10ms or 40ms</w:t>
            </w:r>
          </w:p>
        </w:tc>
        <w:tc>
          <w:tcPr>
            <w:tcW w:w="1894" w:type="dxa"/>
          </w:tcPr>
          <w:p w14:paraId="099F67D9" w14:textId="77777777" w:rsidR="003F011A" w:rsidRPr="00025B90" w:rsidRDefault="003F011A" w:rsidP="000D3F2F">
            <w:pPr>
              <w:spacing w:after="0"/>
            </w:pPr>
            <w:r w:rsidRPr="00025B90">
              <w:t>Yes, but can be overridden by dedicated RRC</w:t>
            </w:r>
          </w:p>
        </w:tc>
      </w:tr>
      <w:tr w:rsidR="003F011A" w:rsidRPr="00025B90" w14:paraId="7837283D" w14:textId="77777777" w:rsidTr="000D3F2F">
        <w:tc>
          <w:tcPr>
            <w:tcW w:w="2785" w:type="dxa"/>
          </w:tcPr>
          <w:p w14:paraId="49C08013" w14:textId="77777777" w:rsidR="003F011A" w:rsidRPr="00025B90" w:rsidRDefault="003F011A" w:rsidP="000D3F2F">
            <w:pPr>
              <w:spacing w:after="0"/>
            </w:pPr>
            <w:r w:rsidRPr="00025B90">
              <w:t>symbolBitmapFddDl</w:t>
            </w:r>
          </w:p>
        </w:tc>
        <w:tc>
          <w:tcPr>
            <w:tcW w:w="900" w:type="dxa"/>
          </w:tcPr>
          <w:p w14:paraId="78FE3270" w14:textId="77777777" w:rsidR="003F011A" w:rsidRPr="00025B90" w:rsidRDefault="003F011A" w:rsidP="000D3F2F">
            <w:pPr>
              <w:spacing w:after="0"/>
            </w:pPr>
            <w:r w:rsidRPr="00025B90">
              <w:t>5 bits + 5 bits</w:t>
            </w:r>
          </w:p>
        </w:tc>
        <w:tc>
          <w:tcPr>
            <w:tcW w:w="4050" w:type="dxa"/>
          </w:tcPr>
          <w:p w14:paraId="4AE1F536" w14:textId="77777777" w:rsidR="003F011A" w:rsidRPr="00025B90" w:rsidRDefault="003F011A" w:rsidP="000D3F2F">
            <w:pPr>
              <w:spacing w:after="0"/>
            </w:pPr>
            <w:r w:rsidRPr="00025B90">
              <w:t>Downlink symbol-level resource reservation over the first or the second slot of one subframe</w:t>
            </w:r>
          </w:p>
        </w:tc>
        <w:tc>
          <w:tcPr>
            <w:tcW w:w="1894" w:type="dxa"/>
          </w:tcPr>
          <w:p w14:paraId="598902A4" w14:textId="77777777" w:rsidR="003F011A" w:rsidRPr="00025B90" w:rsidRDefault="003F011A" w:rsidP="000D3F2F">
            <w:pPr>
              <w:spacing w:after="0"/>
            </w:pPr>
            <w:r w:rsidRPr="00025B90">
              <w:t>Yes, can be overridden by dedicated RRC</w:t>
            </w:r>
          </w:p>
        </w:tc>
      </w:tr>
      <w:tr w:rsidR="003F011A" w:rsidRPr="00025B90" w14:paraId="2D0FA121" w14:textId="77777777" w:rsidTr="000D3F2F">
        <w:tc>
          <w:tcPr>
            <w:tcW w:w="2785" w:type="dxa"/>
          </w:tcPr>
          <w:p w14:paraId="770FA41E" w14:textId="77777777" w:rsidR="003F011A" w:rsidRPr="00025B90" w:rsidRDefault="003F011A" w:rsidP="000D3F2F">
            <w:pPr>
              <w:spacing w:after="0"/>
            </w:pPr>
            <w:r w:rsidRPr="00025B90">
              <w:t>symbolBitmapFddUlorTDD</w:t>
            </w:r>
          </w:p>
        </w:tc>
        <w:tc>
          <w:tcPr>
            <w:tcW w:w="900" w:type="dxa"/>
          </w:tcPr>
          <w:p w14:paraId="2E180BC2" w14:textId="77777777" w:rsidR="003F011A" w:rsidRPr="00025B90" w:rsidRDefault="003F011A" w:rsidP="000D3F2F">
            <w:pPr>
              <w:spacing w:after="0"/>
            </w:pPr>
            <w:r w:rsidRPr="00025B90">
              <w:t>7 bits + 7 bits</w:t>
            </w:r>
          </w:p>
        </w:tc>
        <w:tc>
          <w:tcPr>
            <w:tcW w:w="4050" w:type="dxa"/>
          </w:tcPr>
          <w:p w14:paraId="6B87EADD" w14:textId="77777777" w:rsidR="003F011A" w:rsidRPr="00025B90" w:rsidRDefault="003F011A" w:rsidP="000D3F2F">
            <w:pPr>
              <w:spacing w:after="0"/>
              <w:rPr>
                <w:lang w:val="en-US"/>
              </w:rPr>
            </w:pPr>
            <w:r w:rsidRPr="00025B90">
              <w:t>Uplink symbol-level resource reservation over the first or the second slot of one subframe</w:t>
            </w:r>
          </w:p>
        </w:tc>
        <w:tc>
          <w:tcPr>
            <w:tcW w:w="1894" w:type="dxa"/>
          </w:tcPr>
          <w:p w14:paraId="584A14DF" w14:textId="77777777" w:rsidR="003F011A" w:rsidRPr="00025B90" w:rsidRDefault="003F011A" w:rsidP="000D3F2F">
            <w:pPr>
              <w:spacing w:after="0"/>
            </w:pPr>
            <w:r w:rsidRPr="00025B90">
              <w:t>Yes, but can be overridden by dedicated RRC</w:t>
            </w:r>
          </w:p>
        </w:tc>
      </w:tr>
    </w:tbl>
    <w:p w14:paraId="4BA53AF7" w14:textId="77777777" w:rsidR="003F011A" w:rsidRPr="00025B90" w:rsidRDefault="003F011A" w:rsidP="003F011A">
      <w:pPr>
        <w:spacing w:after="0"/>
        <w:rPr>
          <w:b/>
          <w:bCs/>
        </w:rPr>
      </w:pPr>
    </w:p>
    <w:p w14:paraId="1CD3F69D" w14:textId="77777777" w:rsidR="003F011A" w:rsidRPr="00025B90" w:rsidRDefault="003F011A" w:rsidP="003F011A">
      <w:pPr>
        <w:spacing w:after="0"/>
        <w:rPr>
          <w:b/>
          <w:bCs/>
        </w:rPr>
      </w:pPr>
      <w:r w:rsidRPr="00025B90">
        <w:rPr>
          <w:b/>
          <w:bCs/>
        </w:rPr>
        <w:lastRenderedPageBreak/>
        <w:t>Question 1.1: If some resource reservation parameters for NR can be same across different NB-IoT carriers then can all the parameters be the same for all the NB-IoT carriers configured via dedicated signalling?</w:t>
      </w:r>
    </w:p>
    <w:p w14:paraId="0AA8B98F" w14:textId="77777777" w:rsidR="003F011A" w:rsidRPr="00025B90" w:rsidRDefault="003F011A" w:rsidP="003F011A">
      <w:pPr>
        <w:spacing w:after="0"/>
      </w:pPr>
    </w:p>
    <w:p w14:paraId="7CD66C82" w14:textId="3862ADBA" w:rsidR="003F011A" w:rsidRDefault="003F011A" w:rsidP="00025B90">
      <w:r w:rsidRPr="00025B90">
        <w:t xml:space="preserve">Since the parameters of periodicity, startPosition and granularity defines a high-level configuration of time domain resource reservation, it can be assumed to be same for all the non-anchor carriers and signalled </w:t>
      </w:r>
      <w:r w:rsidR="00D33FF7">
        <w:t>in</w:t>
      </w:r>
      <w:r w:rsidRPr="00025B90">
        <w:t xml:space="preserve"> the SIB</w:t>
      </w:r>
      <w:r w:rsidR="00D33FF7">
        <w:t>.</w:t>
      </w:r>
      <w:r w:rsidRPr="00025B90">
        <w:t xml:space="preserve"> </w:t>
      </w:r>
    </w:p>
    <w:p w14:paraId="3CAF9CD3" w14:textId="77777777" w:rsidR="00D33FF7" w:rsidRPr="00025B90" w:rsidRDefault="00D33FF7" w:rsidP="00D33FF7">
      <w:pPr>
        <w:spacing w:after="0"/>
      </w:pPr>
    </w:p>
    <w:p w14:paraId="490DB794" w14:textId="77777777" w:rsidR="003F011A" w:rsidRPr="00025B90" w:rsidRDefault="003F011A" w:rsidP="003F011A">
      <w:pPr>
        <w:spacing w:after="0"/>
      </w:pPr>
    </w:p>
    <w:p w14:paraId="2E488873" w14:textId="77777777" w:rsidR="003F011A" w:rsidRPr="00025B90" w:rsidRDefault="003F011A" w:rsidP="003F011A">
      <w:pPr>
        <w:spacing w:after="0"/>
        <w:rPr>
          <w:b/>
          <w:bCs/>
        </w:rPr>
      </w:pPr>
      <w:r w:rsidRPr="00025B90">
        <w:rPr>
          <w:b/>
          <w:bCs/>
        </w:rPr>
        <w:t>Question 2: For NB-IoT and eMTC, which, if any, parameters are likely to be the same for uplink and downlink?</w:t>
      </w:r>
    </w:p>
    <w:p w14:paraId="2FA77BE5" w14:textId="77777777" w:rsidR="003F011A" w:rsidRPr="00025B90" w:rsidRDefault="003F011A" w:rsidP="003F011A">
      <w:pPr>
        <w:spacing w:after="0"/>
      </w:pPr>
    </w:p>
    <w:p w14:paraId="3E6AD5CD" w14:textId="77777777" w:rsidR="002800EB" w:rsidRPr="00025B90" w:rsidRDefault="002800EB" w:rsidP="002800EB">
      <w:r w:rsidRPr="00025B90">
        <w:t xml:space="preserve">Currently, the resource reservation is independently configured for downlink and uplink. </w:t>
      </w:r>
      <w:r>
        <w:t>This allows</w:t>
      </w:r>
      <w:r w:rsidRPr="00025B90">
        <w:t xml:space="preserve"> reserved resources </w:t>
      </w:r>
      <w:r>
        <w:t xml:space="preserve">configured </w:t>
      </w:r>
      <w:r w:rsidRPr="00025B90">
        <w:t xml:space="preserve">only in one of the directions but not both. </w:t>
      </w:r>
      <w:r>
        <w:t xml:space="preserve">However, </w:t>
      </w:r>
      <w:r w:rsidRPr="00025B90">
        <w:t>coexistence in uplink and downlink</w:t>
      </w:r>
      <w:r>
        <w:t xml:space="preserve"> can be different</w:t>
      </w:r>
      <w:r w:rsidRPr="00025B90">
        <w:t xml:space="preserve">, e.g. SSB in downlink and control in uplink, </w:t>
      </w:r>
      <w:r>
        <w:t xml:space="preserve">and </w:t>
      </w:r>
      <w:r w:rsidRPr="00025B90">
        <w:t xml:space="preserve">it may be difficult to share </w:t>
      </w:r>
      <w:r>
        <w:t xml:space="preserve">the </w:t>
      </w:r>
      <w:r w:rsidRPr="00025B90">
        <w:t>same configuration between downlink and uplink. Although we think some parameters</w:t>
      </w:r>
      <w:r>
        <w:t xml:space="preserve"> (</w:t>
      </w:r>
      <w:r w:rsidRPr="00025B90">
        <w:t>e.g. periodicity, startPosition and granularity</w:t>
      </w:r>
      <w:r>
        <w:t>)</w:t>
      </w:r>
      <w:r w:rsidRPr="00025B90">
        <w:t xml:space="preserve"> may be same for uplink and downlink, it is desirable to configure uplink and downlink separately. </w:t>
      </w:r>
    </w:p>
    <w:p w14:paraId="43F4EB06" w14:textId="77777777" w:rsidR="003F011A" w:rsidRPr="002800EB" w:rsidRDefault="003F011A" w:rsidP="003F011A">
      <w:pPr>
        <w:spacing w:after="0"/>
      </w:pPr>
    </w:p>
    <w:p w14:paraId="25E91534" w14:textId="77777777" w:rsidR="003F011A" w:rsidRPr="00025B90" w:rsidRDefault="003F011A" w:rsidP="003F011A">
      <w:pPr>
        <w:spacing w:after="0"/>
      </w:pPr>
    </w:p>
    <w:p w14:paraId="79DF456D" w14:textId="77777777" w:rsidR="003F011A" w:rsidRPr="00025B90" w:rsidRDefault="003F011A" w:rsidP="003F011A">
      <w:pPr>
        <w:spacing w:after="0"/>
        <w:rPr>
          <w:b/>
        </w:rPr>
      </w:pPr>
      <w:r w:rsidRPr="00025B90">
        <w:rPr>
          <w:b/>
        </w:rPr>
        <w:t xml:space="preserve">Question 3: For NB-IoT and eMTC, </w:t>
      </w:r>
      <w:r w:rsidRPr="00025B90">
        <w:rPr>
          <w:b/>
          <w:bCs/>
        </w:rPr>
        <w:t xml:space="preserve">which, if any, parameters are likely to be the </w:t>
      </w:r>
      <w:r w:rsidRPr="00025B90">
        <w:rPr>
          <w:b/>
        </w:rPr>
        <w:t>same in neighbour cells on the same carrier frequency?</w:t>
      </w:r>
    </w:p>
    <w:p w14:paraId="05776920" w14:textId="77777777" w:rsidR="003F011A" w:rsidRPr="00025B90" w:rsidRDefault="003F011A" w:rsidP="003F011A">
      <w:pPr>
        <w:spacing w:after="0"/>
        <w:rPr>
          <w:b/>
        </w:rPr>
      </w:pPr>
    </w:p>
    <w:p w14:paraId="55F92F2F" w14:textId="2813B0D6" w:rsidR="003F011A" w:rsidRDefault="003F011A" w:rsidP="00025B90">
      <w:r w:rsidRPr="00025B90">
        <w:t xml:space="preserve">This may be dependent on whether neighbour cell is also inband with NR on the same carrier frequency. If so, it should be okay to assume the same resource reservation configuration </w:t>
      </w:r>
      <w:bookmarkStart w:id="2" w:name="_GoBack"/>
      <w:bookmarkEnd w:id="2"/>
      <w:r w:rsidRPr="00025B90">
        <w:t xml:space="preserve">used in neighbour cells. It shall also be possible to overwrite </w:t>
      </w:r>
      <w:r w:rsidR="00D33FF7">
        <w:t>these</w:t>
      </w:r>
      <w:r w:rsidRPr="00025B90">
        <w:t xml:space="preserve"> parameters if they are different in neighbour cells. In such case, only the parameters that are different in neighbour cells are provided in the handover configuration to save </w:t>
      </w:r>
      <w:r w:rsidR="00D33FF7">
        <w:t>the bits</w:t>
      </w:r>
      <w:r w:rsidRPr="00025B90">
        <w:t xml:space="preserve">. </w:t>
      </w:r>
    </w:p>
    <w:p w14:paraId="7CA4F1ED" w14:textId="5067CC85" w:rsidR="00025B90" w:rsidRDefault="00025B90" w:rsidP="00025B90"/>
    <w:p w14:paraId="684F89DC" w14:textId="7F154586" w:rsidR="00F81B68" w:rsidRDefault="001A2573" w:rsidP="001A2573">
      <w:pPr>
        <w:rPr>
          <w:b/>
          <w:bCs/>
        </w:rPr>
      </w:pPr>
      <w:r w:rsidRPr="00106C5D">
        <w:rPr>
          <w:b/>
          <w:bCs/>
          <w:u w:val="single"/>
        </w:rPr>
        <w:t xml:space="preserve">Proposal 1: </w:t>
      </w:r>
      <w:r>
        <w:rPr>
          <w:b/>
          <w:bCs/>
        </w:rPr>
        <w:t xml:space="preserve"> </w:t>
      </w:r>
      <w:r w:rsidR="00F81B68">
        <w:rPr>
          <w:b/>
          <w:bCs/>
        </w:rPr>
        <w:t xml:space="preserve">The resource configuration parameters for NR coexistence can be </w:t>
      </w:r>
      <w:r w:rsidR="00F81B68" w:rsidRPr="00F81B68">
        <w:rPr>
          <w:b/>
          <w:bCs/>
        </w:rPr>
        <w:t>cell common (i.e. same for any NB-IoT carrier used for connected mode only), and can be overridden by dedicated signalling</w:t>
      </w:r>
      <w:r w:rsidR="00F81B68">
        <w:rPr>
          <w:b/>
          <w:bCs/>
        </w:rPr>
        <w:t xml:space="preserve"> </w:t>
      </w:r>
      <w:r>
        <w:rPr>
          <w:b/>
          <w:bCs/>
        </w:rPr>
        <w:t xml:space="preserve"> </w:t>
      </w:r>
    </w:p>
    <w:p w14:paraId="48F5049E" w14:textId="399B7EDB" w:rsidR="001A2573" w:rsidRDefault="001A2573" w:rsidP="00F81B68">
      <w:pPr>
        <w:pStyle w:val="ListParagraph"/>
        <w:numPr>
          <w:ilvl w:val="0"/>
          <w:numId w:val="33"/>
        </w:numPr>
        <w:rPr>
          <w:b/>
          <w:bCs/>
        </w:rPr>
      </w:pPr>
      <w:r w:rsidRPr="00F81B68">
        <w:rPr>
          <w:b/>
          <w:bCs/>
        </w:rPr>
        <w:t>Endorse the above LS response on NR coexistence.</w:t>
      </w:r>
    </w:p>
    <w:p w14:paraId="1D5E79F1" w14:textId="7AB035B5" w:rsidR="00F81B68" w:rsidRDefault="00F81B68" w:rsidP="00F81B68">
      <w:pPr>
        <w:rPr>
          <w:b/>
          <w:bCs/>
        </w:rPr>
      </w:pPr>
    </w:p>
    <w:p w14:paraId="667A24F5" w14:textId="77777777" w:rsidR="00F81B68" w:rsidRDefault="00F81B68" w:rsidP="00F81B68">
      <w:pPr>
        <w:pStyle w:val="Heading1"/>
        <w:spacing w:before="120" w:after="120"/>
        <w:ind w:left="0" w:firstLine="0"/>
        <w:rPr>
          <w:lang w:val="en-US"/>
        </w:rPr>
      </w:pPr>
      <w:bookmarkStart w:id="3" w:name="OLE_LINK10"/>
      <w:bookmarkStart w:id="4" w:name="OLE_LINK11"/>
      <w:r>
        <w:rPr>
          <w:lang w:val="en-US"/>
        </w:rPr>
        <w:t>References</w:t>
      </w:r>
    </w:p>
    <w:p w14:paraId="76E8A67D" w14:textId="77777777" w:rsidR="00F81B68" w:rsidRDefault="00F81B68" w:rsidP="00F81B68">
      <w:pPr>
        <w:numPr>
          <w:ilvl w:val="0"/>
          <w:numId w:val="34"/>
        </w:numPr>
        <w:overflowPunct/>
        <w:autoSpaceDE/>
        <w:adjustRightInd/>
        <w:spacing w:after="0" w:line="264" w:lineRule="auto"/>
      </w:pPr>
      <w:bookmarkStart w:id="5" w:name="OLE_LINK5"/>
      <w:bookmarkStart w:id="6" w:name="OLE_LINK4"/>
      <w:bookmarkStart w:id="7" w:name="OLE_LINK2"/>
      <w:bookmarkEnd w:id="3"/>
      <w:bookmarkEnd w:id="4"/>
      <w:r>
        <w:t xml:space="preserve">3GPP, </w:t>
      </w:r>
      <w:bookmarkEnd w:id="5"/>
      <w:bookmarkEnd w:id="6"/>
      <w:bookmarkEnd w:id="7"/>
      <w:r>
        <w:t>R2-2001518, LS on NR coexistence, RAN2 (Qualcomm)</w:t>
      </w:r>
    </w:p>
    <w:p w14:paraId="5648014B" w14:textId="77777777" w:rsidR="00F81B68" w:rsidRDefault="00F81B68" w:rsidP="00F81B68">
      <w:pPr>
        <w:spacing w:after="0"/>
        <w:rPr>
          <w:sz w:val="22"/>
          <w:szCs w:val="22"/>
        </w:rPr>
      </w:pPr>
    </w:p>
    <w:p w14:paraId="550948AE" w14:textId="77777777" w:rsidR="00F81B68" w:rsidRPr="00F81B68" w:rsidRDefault="00F81B68" w:rsidP="00F81B68">
      <w:pPr>
        <w:rPr>
          <w:b/>
          <w:bCs/>
        </w:rPr>
      </w:pPr>
    </w:p>
    <w:sectPr w:rsidR="00F81B68" w:rsidRPr="00F81B68"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6A516" w14:textId="77777777" w:rsidR="003A0D4F" w:rsidRDefault="003A0D4F">
      <w:pPr>
        <w:spacing w:after="0"/>
      </w:pPr>
      <w:r>
        <w:separator/>
      </w:r>
    </w:p>
  </w:endnote>
  <w:endnote w:type="continuationSeparator" w:id="0">
    <w:p w14:paraId="682FDD3F" w14:textId="77777777" w:rsidR="003A0D4F" w:rsidRDefault="003A0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5F297" w14:textId="77777777" w:rsidR="003A0D4F" w:rsidRDefault="003A0D4F">
      <w:pPr>
        <w:spacing w:after="0"/>
      </w:pPr>
      <w:r>
        <w:separator/>
      </w:r>
    </w:p>
  </w:footnote>
  <w:footnote w:type="continuationSeparator" w:id="0">
    <w:p w14:paraId="16F57B43" w14:textId="77777777" w:rsidR="003A0D4F" w:rsidRDefault="003A0D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宋体"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49AA"/>
    <w:multiLevelType w:val="hybridMultilevel"/>
    <w:tmpl w:val="96EA0762"/>
    <w:lvl w:ilvl="0" w:tplc="6FCC509E">
      <w:numFmt w:val="bullet"/>
      <w:lvlText w:val="-"/>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74E"/>
    <w:multiLevelType w:val="hybridMultilevel"/>
    <w:tmpl w:val="42BCB6A4"/>
    <w:lvl w:ilvl="0" w:tplc="6FCC509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8E598B"/>
    <w:multiLevelType w:val="hybridMultilevel"/>
    <w:tmpl w:val="07F21328"/>
    <w:lvl w:ilvl="0" w:tplc="6FCC509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682274"/>
    <w:multiLevelType w:val="hybridMultilevel"/>
    <w:tmpl w:val="C5EC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2CC"/>
    <w:multiLevelType w:val="hybridMultilevel"/>
    <w:tmpl w:val="99F83EB4"/>
    <w:lvl w:ilvl="0" w:tplc="6FCC509E">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宋体"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9D1A32"/>
    <w:multiLevelType w:val="hybridMultilevel"/>
    <w:tmpl w:val="5992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5B1A6D"/>
    <w:multiLevelType w:val="hybridMultilevel"/>
    <w:tmpl w:val="14E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0"/>
  </w:num>
  <w:num w:numId="4">
    <w:abstractNumId w:val="9"/>
  </w:num>
  <w:num w:numId="5">
    <w:abstractNumId w:val="4"/>
  </w:num>
  <w:num w:numId="6">
    <w:abstractNumId w:val="8"/>
  </w:num>
  <w:num w:numId="7">
    <w:abstractNumId w:val="28"/>
  </w:num>
  <w:num w:numId="8">
    <w:abstractNumId w:val="10"/>
  </w:num>
  <w:num w:numId="9">
    <w:abstractNumId w:val="13"/>
  </w:num>
  <w:num w:numId="10">
    <w:abstractNumId w:val="29"/>
  </w:num>
  <w:num w:numId="11">
    <w:abstractNumId w:val="6"/>
  </w:num>
  <w:num w:numId="12">
    <w:abstractNumId w:val="19"/>
  </w:num>
  <w:num w:numId="13">
    <w:abstractNumId w:val="33"/>
  </w:num>
  <w:num w:numId="14">
    <w:abstractNumId w:val="32"/>
  </w:num>
  <w:num w:numId="15">
    <w:abstractNumId w:val="21"/>
  </w:num>
  <w:num w:numId="16">
    <w:abstractNumId w:val="30"/>
  </w:num>
  <w:num w:numId="17">
    <w:abstractNumId w:val="17"/>
  </w:num>
  <w:num w:numId="18">
    <w:abstractNumId w:val="7"/>
  </w:num>
  <w:num w:numId="19">
    <w:abstractNumId w:val="34"/>
  </w:num>
  <w:num w:numId="20">
    <w:abstractNumId w:val="26"/>
  </w:num>
  <w:num w:numId="21">
    <w:abstractNumId w:val="15"/>
  </w:num>
  <w:num w:numId="22">
    <w:abstractNumId w:val="5"/>
  </w:num>
  <w:num w:numId="23">
    <w:abstractNumId w:val="14"/>
  </w:num>
  <w:num w:numId="24">
    <w:abstractNumId w:val="25"/>
  </w:num>
  <w:num w:numId="25">
    <w:abstractNumId w:val="3"/>
  </w:num>
  <w:num w:numId="26">
    <w:abstractNumId w:val="24"/>
  </w:num>
  <w:num w:numId="27">
    <w:abstractNumId w:val="31"/>
  </w:num>
  <w:num w:numId="28">
    <w:abstractNumId w:val="1"/>
  </w:num>
  <w:num w:numId="29">
    <w:abstractNumId w:val="22"/>
  </w:num>
  <w:num w:numId="30">
    <w:abstractNumId w:val="27"/>
  </w:num>
  <w:num w:numId="31">
    <w:abstractNumId w:val="23"/>
  </w:num>
  <w:num w:numId="32">
    <w:abstractNumId w:val="12"/>
  </w:num>
  <w:num w:numId="33">
    <w:abstractNumId w:val="18"/>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373F"/>
    <w:rsid w:val="000255B6"/>
    <w:rsid w:val="00025B90"/>
    <w:rsid w:val="00026AF9"/>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013D"/>
    <w:rsid w:val="000E1579"/>
    <w:rsid w:val="000E2517"/>
    <w:rsid w:val="000E40BF"/>
    <w:rsid w:val="000E4C26"/>
    <w:rsid w:val="000F0309"/>
    <w:rsid w:val="000F0C21"/>
    <w:rsid w:val="000F1CA0"/>
    <w:rsid w:val="000F3884"/>
    <w:rsid w:val="00101BF1"/>
    <w:rsid w:val="001056E3"/>
    <w:rsid w:val="00105E28"/>
    <w:rsid w:val="00106C5D"/>
    <w:rsid w:val="001074C3"/>
    <w:rsid w:val="00107B35"/>
    <w:rsid w:val="00110D6B"/>
    <w:rsid w:val="00110E2F"/>
    <w:rsid w:val="001127C8"/>
    <w:rsid w:val="0011444C"/>
    <w:rsid w:val="001148FD"/>
    <w:rsid w:val="00114A3A"/>
    <w:rsid w:val="00121792"/>
    <w:rsid w:val="00122277"/>
    <w:rsid w:val="00124D09"/>
    <w:rsid w:val="001260BD"/>
    <w:rsid w:val="00130A14"/>
    <w:rsid w:val="00130D20"/>
    <w:rsid w:val="00133325"/>
    <w:rsid w:val="001335A6"/>
    <w:rsid w:val="0013375B"/>
    <w:rsid w:val="001426D3"/>
    <w:rsid w:val="00142E82"/>
    <w:rsid w:val="00145F0C"/>
    <w:rsid w:val="00150C1E"/>
    <w:rsid w:val="00151701"/>
    <w:rsid w:val="00155700"/>
    <w:rsid w:val="001562AB"/>
    <w:rsid w:val="001576F3"/>
    <w:rsid w:val="00163F47"/>
    <w:rsid w:val="00165DFB"/>
    <w:rsid w:val="00167516"/>
    <w:rsid w:val="00176E75"/>
    <w:rsid w:val="00177C78"/>
    <w:rsid w:val="00180528"/>
    <w:rsid w:val="00180C0A"/>
    <w:rsid w:val="00186AC0"/>
    <w:rsid w:val="0018710D"/>
    <w:rsid w:val="00192A4C"/>
    <w:rsid w:val="001A2573"/>
    <w:rsid w:val="001A4018"/>
    <w:rsid w:val="001A4D6B"/>
    <w:rsid w:val="001A6ACE"/>
    <w:rsid w:val="001A7175"/>
    <w:rsid w:val="001B0F7A"/>
    <w:rsid w:val="001B1F77"/>
    <w:rsid w:val="001B3DAD"/>
    <w:rsid w:val="001B4B20"/>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0438"/>
    <w:rsid w:val="00271968"/>
    <w:rsid w:val="00273DBD"/>
    <w:rsid w:val="002772CA"/>
    <w:rsid w:val="002800EB"/>
    <w:rsid w:val="00293595"/>
    <w:rsid w:val="00294D8B"/>
    <w:rsid w:val="00296E4A"/>
    <w:rsid w:val="002A19EA"/>
    <w:rsid w:val="002A3C64"/>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0762D"/>
    <w:rsid w:val="00313319"/>
    <w:rsid w:val="00313AE3"/>
    <w:rsid w:val="003140CB"/>
    <w:rsid w:val="003141DD"/>
    <w:rsid w:val="00316B3D"/>
    <w:rsid w:val="0032030C"/>
    <w:rsid w:val="003217DC"/>
    <w:rsid w:val="003246C6"/>
    <w:rsid w:val="003250E8"/>
    <w:rsid w:val="00325C85"/>
    <w:rsid w:val="00327AE4"/>
    <w:rsid w:val="003322AE"/>
    <w:rsid w:val="0033449B"/>
    <w:rsid w:val="00341898"/>
    <w:rsid w:val="00346070"/>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0D4F"/>
    <w:rsid w:val="003A1B84"/>
    <w:rsid w:val="003A39E8"/>
    <w:rsid w:val="003A486A"/>
    <w:rsid w:val="003A6075"/>
    <w:rsid w:val="003A663F"/>
    <w:rsid w:val="003A6AF9"/>
    <w:rsid w:val="003A7129"/>
    <w:rsid w:val="003A7839"/>
    <w:rsid w:val="003B0282"/>
    <w:rsid w:val="003B0A4D"/>
    <w:rsid w:val="003B3451"/>
    <w:rsid w:val="003B5170"/>
    <w:rsid w:val="003B6EE7"/>
    <w:rsid w:val="003B7A74"/>
    <w:rsid w:val="003C0CBB"/>
    <w:rsid w:val="003C2394"/>
    <w:rsid w:val="003C24EB"/>
    <w:rsid w:val="003D073B"/>
    <w:rsid w:val="003D0AF6"/>
    <w:rsid w:val="003D5166"/>
    <w:rsid w:val="003D5790"/>
    <w:rsid w:val="003D60B0"/>
    <w:rsid w:val="003D6E0F"/>
    <w:rsid w:val="003D7A21"/>
    <w:rsid w:val="003E110C"/>
    <w:rsid w:val="003E6462"/>
    <w:rsid w:val="003F011A"/>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327D"/>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A6550"/>
    <w:rsid w:val="004B4E52"/>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320E6"/>
    <w:rsid w:val="00537C49"/>
    <w:rsid w:val="0054039E"/>
    <w:rsid w:val="00540793"/>
    <w:rsid w:val="005422B7"/>
    <w:rsid w:val="00542861"/>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3903"/>
    <w:rsid w:val="005B3A8B"/>
    <w:rsid w:val="005B428C"/>
    <w:rsid w:val="005C42CA"/>
    <w:rsid w:val="005C4B75"/>
    <w:rsid w:val="005D3A65"/>
    <w:rsid w:val="005D44F1"/>
    <w:rsid w:val="005D60C4"/>
    <w:rsid w:val="005E0722"/>
    <w:rsid w:val="005E1522"/>
    <w:rsid w:val="005F1912"/>
    <w:rsid w:val="005F1AFF"/>
    <w:rsid w:val="005F23D7"/>
    <w:rsid w:val="005F6DD0"/>
    <w:rsid w:val="006012CA"/>
    <w:rsid w:val="0060349E"/>
    <w:rsid w:val="00604828"/>
    <w:rsid w:val="00607BEC"/>
    <w:rsid w:val="006120FC"/>
    <w:rsid w:val="006130DA"/>
    <w:rsid w:val="0061353D"/>
    <w:rsid w:val="006161EB"/>
    <w:rsid w:val="0061680D"/>
    <w:rsid w:val="00622923"/>
    <w:rsid w:val="00622C1C"/>
    <w:rsid w:val="00623635"/>
    <w:rsid w:val="0062378D"/>
    <w:rsid w:val="006256B1"/>
    <w:rsid w:val="00631434"/>
    <w:rsid w:val="006351C6"/>
    <w:rsid w:val="00647161"/>
    <w:rsid w:val="00651188"/>
    <w:rsid w:val="00652888"/>
    <w:rsid w:val="00653AB7"/>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07B4E"/>
    <w:rsid w:val="007108E8"/>
    <w:rsid w:val="00711054"/>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0D4C"/>
    <w:rsid w:val="00740E46"/>
    <w:rsid w:val="007418D3"/>
    <w:rsid w:val="00747AEF"/>
    <w:rsid w:val="00750C06"/>
    <w:rsid w:val="00752727"/>
    <w:rsid w:val="00753DB3"/>
    <w:rsid w:val="007609F3"/>
    <w:rsid w:val="007609FC"/>
    <w:rsid w:val="0076181A"/>
    <w:rsid w:val="00764E0B"/>
    <w:rsid w:val="007663F3"/>
    <w:rsid w:val="00770605"/>
    <w:rsid w:val="0077079A"/>
    <w:rsid w:val="0077342F"/>
    <w:rsid w:val="0077404E"/>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90F"/>
    <w:rsid w:val="007D4C69"/>
    <w:rsid w:val="007D4F1D"/>
    <w:rsid w:val="007D666C"/>
    <w:rsid w:val="007E022B"/>
    <w:rsid w:val="007E4B32"/>
    <w:rsid w:val="007E71AF"/>
    <w:rsid w:val="007F14B9"/>
    <w:rsid w:val="007F284B"/>
    <w:rsid w:val="007F61AC"/>
    <w:rsid w:val="007F6EB3"/>
    <w:rsid w:val="008019A1"/>
    <w:rsid w:val="008037E6"/>
    <w:rsid w:val="008051BB"/>
    <w:rsid w:val="008161E9"/>
    <w:rsid w:val="00816F28"/>
    <w:rsid w:val="008175CE"/>
    <w:rsid w:val="008229D2"/>
    <w:rsid w:val="008304D8"/>
    <w:rsid w:val="00831767"/>
    <w:rsid w:val="008343C9"/>
    <w:rsid w:val="00836238"/>
    <w:rsid w:val="0083685F"/>
    <w:rsid w:val="00837351"/>
    <w:rsid w:val="00843A94"/>
    <w:rsid w:val="00844297"/>
    <w:rsid w:val="0086634A"/>
    <w:rsid w:val="00866395"/>
    <w:rsid w:val="00870B13"/>
    <w:rsid w:val="00874D6E"/>
    <w:rsid w:val="008834B3"/>
    <w:rsid w:val="008867AB"/>
    <w:rsid w:val="008873CE"/>
    <w:rsid w:val="00893D03"/>
    <w:rsid w:val="00893E0B"/>
    <w:rsid w:val="00894A33"/>
    <w:rsid w:val="008A327D"/>
    <w:rsid w:val="008A5212"/>
    <w:rsid w:val="008A6450"/>
    <w:rsid w:val="008B66DC"/>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0537"/>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0B52"/>
    <w:rsid w:val="0095158E"/>
    <w:rsid w:val="00957F28"/>
    <w:rsid w:val="00964DEB"/>
    <w:rsid w:val="00966BD7"/>
    <w:rsid w:val="00971D80"/>
    <w:rsid w:val="009752E3"/>
    <w:rsid w:val="00977952"/>
    <w:rsid w:val="00980476"/>
    <w:rsid w:val="009808DA"/>
    <w:rsid w:val="00981E5A"/>
    <w:rsid w:val="00983F60"/>
    <w:rsid w:val="009852FF"/>
    <w:rsid w:val="00986450"/>
    <w:rsid w:val="00990808"/>
    <w:rsid w:val="00991117"/>
    <w:rsid w:val="009920B0"/>
    <w:rsid w:val="0099569C"/>
    <w:rsid w:val="00995C3B"/>
    <w:rsid w:val="00996D6A"/>
    <w:rsid w:val="009A0307"/>
    <w:rsid w:val="009A15E5"/>
    <w:rsid w:val="009A1982"/>
    <w:rsid w:val="009A522D"/>
    <w:rsid w:val="009A525E"/>
    <w:rsid w:val="009B06CB"/>
    <w:rsid w:val="009B11A8"/>
    <w:rsid w:val="009B7081"/>
    <w:rsid w:val="009B7195"/>
    <w:rsid w:val="009C1806"/>
    <w:rsid w:val="009D08AC"/>
    <w:rsid w:val="009D2B50"/>
    <w:rsid w:val="009D54E5"/>
    <w:rsid w:val="009D5F54"/>
    <w:rsid w:val="009D6B86"/>
    <w:rsid w:val="009D7319"/>
    <w:rsid w:val="009E07EE"/>
    <w:rsid w:val="009E119F"/>
    <w:rsid w:val="009E407B"/>
    <w:rsid w:val="009F4E73"/>
    <w:rsid w:val="009F6897"/>
    <w:rsid w:val="00A0336D"/>
    <w:rsid w:val="00A14B05"/>
    <w:rsid w:val="00A16B58"/>
    <w:rsid w:val="00A208D5"/>
    <w:rsid w:val="00A20AE2"/>
    <w:rsid w:val="00A22268"/>
    <w:rsid w:val="00A23B92"/>
    <w:rsid w:val="00A23DAC"/>
    <w:rsid w:val="00A27F26"/>
    <w:rsid w:val="00A36291"/>
    <w:rsid w:val="00A377CC"/>
    <w:rsid w:val="00A41176"/>
    <w:rsid w:val="00A41538"/>
    <w:rsid w:val="00A42294"/>
    <w:rsid w:val="00A47B35"/>
    <w:rsid w:val="00A5342B"/>
    <w:rsid w:val="00A55BF8"/>
    <w:rsid w:val="00A5681F"/>
    <w:rsid w:val="00A569C5"/>
    <w:rsid w:val="00A63C92"/>
    <w:rsid w:val="00A64E05"/>
    <w:rsid w:val="00A66680"/>
    <w:rsid w:val="00A67C85"/>
    <w:rsid w:val="00A70A46"/>
    <w:rsid w:val="00A71E35"/>
    <w:rsid w:val="00A74D3D"/>
    <w:rsid w:val="00A76814"/>
    <w:rsid w:val="00A815E5"/>
    <w:rsid w:val="00A82A8C"/>
    <w:rsid w:val="00A847DE"/>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4A31"/>
    <w:rsid w:val="00BA7044"/>
    <w:rsid w:val="00BB2611"/>
    <w:rsid w:val="00BB2FAB"/>
    <w:rsid w:val="00BB3CBF"/>
    <w:rsid w:val="00BB59C8"/>
    <w:rsid w:val="00BB6E4D"/>
    <w:rsid w:val="00BB7138"/>
    <w:rsid w:val="00BB79C8"/>
    <w:rsid w:val="00BC2AE4"/>
    <w:rsid w:val="00BC3C96"/>
    <w:rsid w:val="00BC41F6"/>
    <w:rsid w:val="00BC51A3"/>
    <w:rsid w:val="00BD0AE1"/>
    <w:rsid w:val="00BD0CB5"/>
    <w:rsid w:val="00BD5140"/>
    <w:rsid w:val="00BD78FD"/>
    <w:rsid w:val="00BE3897"/>
    <w:rsid w:val="00BF12F6"/>
    <w:rsid w:val="00BF16B6"/>
    <w:rsid w:val="00BF4CF6"/>
    <w:rsid w:val="00BF568A"/>
    <w:rsid w:val="00C014B9"/>
    <w:rsid w:val="00C020C6"/>
    <w:rsid w:val="00C03651"/>
    <w:rsid w:val="00C04363"/>
    <w:rsid w:val="00C06C21"/>
    <w:rsid w:val="00C07862"/>
    <w:rsid w:val="00C11FE9"/>
    <w:rsid w:val="00C14D3F"/>
    <w:rsid w:val="00C16826"/>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A663A"/>
    <w:rsid w:val="00CA6ECE"/>
    <w:rsid w:val="00CB09B5"/>
    <w:rsid w:val="00CB4C69"/>
    <w:rsid w:val="00CB5F94"/>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377C"/>
    <w:rsid w:val="00CF4F2A"/>
    <w:rsid w:val="00CF6F6D"/>
    <w:rsid w:val="00D05ED5"/>
    <w:rsid w:val="00D061C4"/>
    <w:rsid w:val="00D17161"/>
    <w:rsid w:val="00D21246"/>
    <w:rsid w:val="00D21CBB"/>
    <w:rsid w:val="00D23477"/>
    <w:rsid w:val="00D2517F"/>
    <w:rsid w:val="00D336AF"/>
    <w:rsid w:val="00D33C2B"/>
    <w:rsid w:val="00D33FF7"/>
    <w:rsid w:val="00D4049E"/>
    <w:rsid w:val="00D42C77"/>
    <w:rsid w:val="00D47770"/>
    <w:rsid w:val="00D532A9"/>
    <w:rsid w:val="00D54D39"/>
    <w:rsid w:val="00D56057"/>
    <w:rsid w:val="00D565B1"/>
    <w:rsid w:val="00D60997"/>
    <w:rsid w:val="00D64908"/>
    <w:rsid w:val="00D64A5D"/>
    <w:rsid w:val="00D66650"/>
    <w:rsid w:val="00D67076"/>
    <w:rsid w:val="00D71E2B"/>
    <w:rsid w:val="00D74013"/>
    <w:rsid w:val="00D75632"/>
    <w:rsid w:val="00D76244"/>
    <w:rsid w:val="00D770FE"/>
    <w:rsid w:val="00D80293"/>
    <w:rsid w:val="00D81830"/>
    <w:rsid w:val="00D818B2"/>
    <w:rsid w:val="00D837D9"/>
    <w:rsid w:val="00D87E4C"/>
    <w:rsid w:val="00D91165"/>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169C0"/>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6DCA"/>
    <w:rsid w:val="00E77A07"/>
    <w:rsid w:val="00E80509"/>
    <w:rsid w:val="00E83097"/>
    <w:rsid w:val="00E935F4"/>
    <w:rsid w:val="00E93CE0"/>
    <w:rsid w:val="00E94BC8"/>
    <w:rsid w:val="00E96DDC"/>
    <w:rsid w:val="00EA267D"/>
    <w:rsid w:val="00EA4E6E"/>
    <w:rsid w:val="00EB32DB"/>
    <w:rsid w:val="00EC22D6"/>
    <w:rsid w:val="00EC72ED"/>
    <w:rsid w:val="00ED1889"/>
    <w:rsid w:val="00ED78E4"/>
    <w:rsid w:val="00EE6693"/>
    <w:rsid w:val="00EE7B69"/>
    <w:rsid w:val="00EF0F78"/>
    <w:rsid w:val="00EF1488"/>
    <w:rsid w:val="00EF285E"/>
    <w:rsid w:val="00EF50BA"/>
    <w:rsid w:val="00EF727E"/>
    <w:rsid w:val="00F01116"/>
    <w:rsid w:val="00F10C80"/>
    <w:rsid w:val="00F12C48"/>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50DC"/>
    <w:rsid w:val="00F56083"/>
    <w:rsid w:val="00F61FD8"/>
    <w:rsid w:val="00F65841"/>
    <w:rsid w:val="00F6594C"/>
    <w:rsid w:val="00F6615B"/>
    <w:rsid w:val="00F6681D"/>
    <w:rsid w:val="00F67B69"/>
    <w:rsid w:val="00F71CCD"/>
    <w:rsid w:val="00F73AE7"/>
    <w:rsid w:val="00F73E6E"/>
    <w:rsid w:val="00F81B68"/>
    <w:rsid w:val="00F81E5A"/>
    <w:rsid w:val="00F82F0F"/>
    <w:rsid w:val="00F836DE"/>
    <w:rsid w:val="00F8517D"/>
    <w:rsid w:val="00F85BFA"/>
    <w:rsid w:val="00F87982"/>
    <w:rsid w:val="00F90138"/>
    <w:rsid w:val="00F93620"/>
    <w:rsid w:val="00F9626D"/>
    <w:rsid w:val="00F96A71"/>
    <w:rsid w:val="00FA27C1"/>
    <w:rsid w:val="00FA3A85"/>
    <w:rsid w:val="00FA4E87"/>
    <w:rsid w:val="00FB3C30"/>
    <w:rsid w:val="00FB5968"/>
    <w:rsid w:val="00FB6609"/>
    <w:rsid w:val="00FB6A8E"/>
    <w:rsid w:val="00FB6D3E"/>
    <w:rsid w:val="00FC2FF4"/>
    <w:rsid w:val="00FC33CB"/>
    <w:rsid w:val="00FC3CE5"/>
    <w:rsid w:val="00FC3D58"/>
    <w:rsid w:val="00FC52BF"/>
    <w:rsid w:val="00FD0097"/>
    <w:rsid w:val="00FD07BB"/>
    <w:rsid w:val="00FD576E"/>
    <w:rsid w:val="00FE060D"/>
    <w:rsid w:val="00FE2027"/>
    <w:rsid w:val="00FE3023"/>
    <w:rsid w:val="00FF0BF3"/>
    <w:rsid w:val="00FF194A"/>
    <w:rsid w:val="00FF6006"/>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1B68"/>
    <w:pPr>
      <w:overflowPunct w:val="0"/>
      <w:autoSpaceDE w:val="0"/>
      <w:autoSpaceDN w:val="0"/>
      <w:adjustRightInd w:val="0"/>
      <w:spacing w:after="180"/>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971D8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1D8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宋体"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宋体"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宋体"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宋体"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uiPriority w:val="99"/>
    <w:rsid w:val="00186AC0"/>
    <w:pPr>
      <w:overflowPunct/>
      <w:autoSpaceDE/>
      <w:autoSpaceDN/>
      <w:adjustRightInd/>
      <w:ind w:left="568" w:hanging="284"/>
      <w:contextualSpacing w:val="0"/>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宋体"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pPr>
    <w:rPr>
      <w:rFonts w:eastAsia="Times New Roman"/>
    </w:rPr>
  </w:style>
  <w:style w:type="character" w:customStyle="1" w:styleId="B1Char1">
    <w:name w:val="B1 Char1"/>
    <w:link w:val="B1"/>
    <w:qFormat/>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 w:type="character" w:customStyle="1" w:styleId="B10">
    <w:name w:val="B1 (文字)"/>
    <w:uiPriority w:val="99"/>
    <w:locked/>
    <w:rsid w:val="00106C5D"/>
    <w:rPr>
      <w:lang w:eastAsia="en-US"/>
    </w:rPr>
  </w:style>
  <w:style w:type="character" w:customStyle="1" w:styleId="Heading5Char">
    <w:name w:val="Heading 5 Char"/>
    <w:basedOn w:val="DefaultParagraphFont"/>
    <w:link w:val="Heading5"/>
    <w:uiPriority w:val="9"/>
    <w:semiHidden/>
    <w:rsid w:val="00971D80"/>
    <w:rPr>
      <w:rFonts w:asciiTheme="majorHAnsi" w:eastAsiaTheme="majorEastAsia" w:hAnsiTheme="majorHAnsi" w:cstheme="majorBidi"/>
      <w:color w:val="2F5496" w:themeColor="accent1" w:themeShade="BF"/>
      <w:lang w:val="en-GB"/>
    </w:rPr>
  </w:style>
  <w:style w:type="character" w:customStyle="1" w:styleId="Heading4Char">
    <w:name w:val="Heading 4 Char"/>
    <w:basedOn w:val="DefaultParagraphFont"/>
    <w:link w:val="Heading4"/>
    <w:uiPriority w:val="9"/>
    <w:semiHidden/>
    <w:rsid w:val="00971D80"/>
    <w:rPr>
      <w:rFonts w:asciiTheme="majorHAnsi" w:eastAsiaTheme="majorEastAsia" w:hAnsiTheme="majorHAnsi" w:cstheme="majorBidi"/>
      <w:i/>
      <w:iCs/>
      <w:color w:val="2F5496" w:themeColor="accent1" w:themeShade="BF"/>
      <w:lang w:val="en-GB"/>
    </w:rPr>
  </w:style>
  <w:style w:type="paragraph" w:customStyle="1" w:styleId="NO">
    <w:name w:val="NO"/>
    <w:basedOn w:val="Normal"/>
    <w:rsid w:val="00996D6A"/>
    <w:pPr>
      <w:keepLines/>
      <w:overflowPunct/>
      <w:autoSpaceDE/>
      <w:autoSpaceDN/>
      <w:adjustRightInd/>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59432257">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09108648">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35066463">
      <w:bodyDiv w:val="1"/>
      <w:marLeft w:val="0"/>
      <w:marRight w:val="0"/>
      <w:marTop w:val="0"/>
      <w:marBottom w:val="0"/>
      <w:divBdr>
        <w:top w:val="none" w:sz="0" w:space="0" w:color="auto"/>
        <w:left w:val="none" w:sz="0" w:space="0" w:color="auto"/>
        <w:bottom w:val="none" w:sz="0" w:space="0" w:color="auto"/>
        <w:right w:val="none" w:sz="0" w:space="0" w:color="auto"/>
      </w:divBdr>
    </w:div>
    <w:div w:id="1668677724">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63021553">
      <w:bodyDiv w:val="1"/>
      <w:marLeft w:val="0"/>
      <w:marRight w:val="0"/>
      <w:marTop w:val="0"/>
      <w:marBottom w:val="0"/>
      <w:divBdr>
        <w:top w:val="none" w:sz="0" w:space="0" w:color="auto"/>
        <w:left w:val="none" w:sz="0" w:space="0" w:color="auto"/>
        <w:bottom w:val="none" w:sz="0" w:space="0" w:color="auto"/>
        <w:right w:val="none" w:sz="0" w:space="0" w:color="auto"/>
      </w:divBdr>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F2D6E-E071-4503-96C1-801CD867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2</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Chao Wei</cp:lastModifiedBy>
  <cp:revision>14</cp:revision>
  <dcterms:created xsi:type="dcterms:W3CDTF">2020-02-14T06:41:00Z</dcterms:created>
  <dcterms:modified xsi:type="dcterms:W3CDTF">2020-04-10T13:55:00Z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